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5914"/>
      </w:tblGrid>
      <w:tr w:rsidR="0035702E" w:rsidRPr="0035702E" w:rsidTr="009E1EC3">
        <w:tc>
          <w:tcPr>
            <w:tcW w:w="3468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9F1B" wp14:editId="3833AE0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5702E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8B0AB" wp14:editId="2F8E4D5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5702E" w:rsidRDefault="0035702E" w:rsidP="0035702E">
      <w:pPr>
        <w:shd w:val="clear" w:color="auto" w:fill="FFFFFF"/>
        <w:spacing w:after="0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0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0"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hôn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là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vợ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b/>
          <w:bCs/>
          <w:szCs w:val="28"/>
        </w:rPr>
        <w:t xml:space="preserve">Nam,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nữ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nhân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Gia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Tuy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nhiên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liệu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?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Gồm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những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5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tạo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/</w:t>
      </w:r>
      <w:proofErr w:type="spellStart"/>
      <w:r w:rsidRPr="006515A9">
        <w:rPr>
          <w:rFonts w:eastAsia="Times New Roman" w:cs="Times New Roman"/>
          <w:szCs w:val="28"/>
        </w:rPr>
        <w:t>chung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dòng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máu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họ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ba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đời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; cha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dâu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rể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dượng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szCs w:val="28"/>
        </w:rPr>
        <w:t>hì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coi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trái</w:t>
      </w:r>
      <w:proofErr w:type="spellEnd"/>
      <w:r>
        <w:rPr>
          <w:rFonts w:eastAsia="Times New Roman" w:cs="Times New Roman"/>
          <w:szCs w:val="28"/>
        </w:rPr>
        <w:t xml:space="preserve"> PL</w:t>
      </w:r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biệt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khẳng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Nhà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nước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giữa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những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cùng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giới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tính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coi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11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xác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lastRenderedPageBreak/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thấy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Cả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Cụ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2.1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Nam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nữ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“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”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tháng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dụ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10/01/1997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10/01/2015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2.2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…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 xml:space="preserve"> HYPERLINK "https://luatvietnam.vn/tu-phap/nghi-quyet-02-2000-nq-hdtp-toa-an-nhan-dan-toi-cao-11381-d1.html"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điểm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d.2 </w:t>
      </w:r>
      <w:proofErr w:type="spellStart"/>
      <w:r w:rsidRPr="006515A9">
        <w:rPr>
          <w:rFonts w:eastAsia="Times New Roman" w:cs="Times New Roman"/>
          <w:szCs w:val="28"/>
          <w:u w:val="single"/>
        </w:rPr>
        <w:t>khoản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 </w:t>
      </w:r>
      <w:proofErr w:type="spellStart"/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  <w:u w:val="single"/>
        </w:rPr>
        <w:t>Nghị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quyết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02/2000/NQ-HĐTP</w:t>
      </w:r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chung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dù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2.3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mất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năng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dân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sự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22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Nói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tóm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93631" w:rsidRDefault="00B93631"/>
    <w:sectPr w:rsidR="00B93631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E"/>
    <w:rsid w:val="00147BA5"/>
    <w:rsid w:val="00222BD5"/>
    <w:rsid w:val="00227543"/>
    <w:rsid w:val="002503B1"/>
    <w:rsid w:val="002A55FB"/>
    <w:rsid w:val="002D6976"/>
    <w:rsid w:val="0035702E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B57FC-16B6-401D-B51B-D138B6CB810E}"/>
</file>

<file path=customXml/itemProps2.xml><?xml version="1.0" encoding="utf-8"?>
<ds:datastoreItem xmlns:ds="http://schemas.openxmlformats.org/officeDocument/2006/customXml" ds:itemID="{EAB1DFE6-A6E4-4643-BC99-64760B6D67AB}"/>
</file>

<file path=customXml/itemProps3.xml><?xml version="1.0" encoding="utf-8"?>
<ds:datastoreItem xmlns:ds="http://schemas.openxmlformats.org/officeDocument/2006/customXml" ds:itemID="{E4D911BA-2325-4975-B59B-59FCEC8AA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2023-04-13T00:47:00Z</dcterms:created>
  <dcterms:modified xsi:type="dcterms:W3CDTF">2023-04-13T00:49:00Z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